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2FEE" w:rsidRDefault="00532FEE">
      <w:pPr>
        <w:rPr>
          <w:color w:val="FF6600"/>
        </w:rPr>
      </w:pPr>
    </w:p>
    <w:p w14:paraId="00000002" w14:textId="77777777" w:rsidR="00532FEE" w:rsidRDefault="00000000">
      <w:pPr>
        <w:pStyle w:val="Heading1"/>
        <w:spacing w:before="240" w:after="240" w:line="360" w:lineRule="auto"/>
        <w:jc w:val="center"/>
        <w:rPr>
          <w:b w:val="0"/>
          <w:sz w:val="20"/>
          <w:szCs w:val="20"/>
        </w:rPr>
      </w:pPr>
      <w:bookmarkStart w:id="0" w:name="_heading=h.zlattcpmvf0" w:colFirst="0" w:colLast="0"/>
      <w:bookmarkEnd w:id="0"/>
      <w:r>
        <w:rPr>
          <w:sz w:val="28"/>
          <w:szCs w:val="28"/>
        </w:rPr>
        <w:t>PENARAFAN BIDANG KUASA JENAYAH MAHKAMAH SYARIAH DAN AKTA 355</w:t>
      </w:r>
    </w:p>
    <w:p w14:paraId="00000003" w14:textId="77777777" w:rsidR="00532FEE" w:rsidRDefault="00000000">
      <w:pPr>
        <w:jc w:val="center"/>
        <w:rPr>
          <w:sz w:val="22"/>
          <w:szCs w:val="22"/>
        </w:rPr>
      </w:pPr>
      <w:r>
        <w:rPr>
          <w:b/>
          <w:sz w:val="20"/>
          <w:szCs w:val="20"/>
        </w:rPr>
        <w:t xml:space="preserve"> </w:t>
      </w:r>
      <w:r>
        <w:rPr>
          <w:b/>
          <w:sz w:val="22"/>
          <w:szCs w:val="22"/>
        </w:rPr>
        <w:t>Azizul Hakim Asri</w:t>
      </w:r>
    </w:p>
    <w:p w14:paraId="00000004" w14:textId="77777777" w:rsidR="00532FEE" w:rsidRDefault="00000000">
      <w:pPr>
        <w:jc w:val="center"/>
        <w:rPr>
          <w:sz w:val="22"/>
          <w:szCs w:val="22"/>
        </w:rPr>
      </w:pPr>
      <w:r>
        <w:rPr>
          <w:sz w:val="22"/>
          <w:szCs w:val="22"/>
        </w:rPr>
        <w:t>Jabatan Syariah, Fakulti Pengajian Islam dan Sains Sosial,</w:t>
      </w:r>
    </w:p>
    <w:p w14:paraId="00000005" w14:textId="77777777" w:rsidR="00532FEE" w:rsidRDefault="00000000">
      <w:pPr>
        <w:jc w:val="center"/>
        <w:rPr>
          <w:sz w:val="22"/>
          <w:szCs w:val="22"/>
        </w:rPr>
      </w:pPr>
      <w:r>
        <w:rPr>
          <w:sz w:val="22"/>
          <w:szCs w:val="22"/>
        </w:rPr>
        <w:t>Universiti Sultan Azlan Shah</w:t>
      </w:r>
    </w:p>
    <w:p w14:paraId="00000006" w14:textId="77777777" w:rsidR="00532FEE" w:rsidRDefault="00532FEE">
      <w:pPr>
        <w:jc w:val="center"/>
        <w:rPr>
          <w:sz w:val="22"/>
          <w:szCs w:val="22"/>
        </w:rPr>
      </w:pPr>
    </w:p>
    <w:p w14:paraId="00000007" w14:textId="77777777" w:rsidR="00532FEE" w:rsidRDefault="00000000">
      <w:pPr>
        <w:jc w:val="center"/>
        <w:rPr>
          <w:sz w:val="22"/>
          <w:szCs w:val="22"/>
        </w:rPr>
      </w:pPr>
      <w:r>
        <w:rPr>
          <w:i/>
          <w:sz w:val="22"/>
          <w:szCs w:val="22"/>
        </w:rPr>
        <w:t xml:space="preserve">Corresponding Author’s Email: axiasri24@gmail.com </w:t>
      </w:r>
    </w:p>
    <w:p w14:paraId="00000008" w14:textId="77777777" w:rsidR="00532FEE" w:rsidRDefault="00532FEE">
      <w:pPr>
        <w:jc w:val="both"/>
        <w:rPr>
          <w:sz w:val="22"/>
          <w:szCs w:val="22"/>
        </w:rPr>
      </w:pPr>
    </w:p>
    <w:p w14:paraId="5325B2F4" w14:textId="77777777" w:rsidR="00EF54FB" w:rsidRDefault="00EF54FB" w:rsidP="00EF54FB">
      <w:pPr>
        <w:contextualSpacing/>
        <w:jc w:val="both"/>
        <w:rPr>
          <w:rFonts w:eastAsia="Calibri" w:cs="Arial"/>
          <w:b/>
          <w:i/>
          <w:sz w:val="22"/>
          <w:szCs w:val="22"/>
          <w:lang w:val="ms-MY" w:eastAsia="en-US"/>
        </w:rPr>
      </w:pPr>
    </w:p>
    <w:p w14:paraId="3CEC5CD3" w14:textId="2E24C1A5" w:rsidR="00EF54FB" w:rsidRPr="00D912AF" w:rsidRDefault="00EF54FB" w:rsidP="00EF54FB">
      <w:pPr>
        <w:contextualSpacing/>
        <w:jc w:val="both"/>
        <w:rPr>
          <w:rFonts w:eastAsia="Calibri" w:cs="Arial"/>
          <w:b/>
          <w:i/>
          <w:sz w:val="22"/>
          <w:szCs w:val="22"/>
          <w:lang w:val="ms-MY" w:eastAsia="en-US"/>
        </w:rPr>
      </w:pPr>
      <w:r w:rsidRPr="00D912AF">
        <w:rPr>
          <w:rFonts w:eastAsia="Calibri" w:cs="Arial"/>
          <w:b/>
          <w:i/>
          <w:sz w:val="22"/>
          <w:szCs w:val="22"/>
          <w:lang w:val="ms-MY" w:eastAsia="en-US"/>
        </w:rPr>
        <w:t>Article history:</w:t>
      </w:r>
    </w:p>
    <w:p w14:paraId="52B1E53D" w14:textId="563168C6" w:rsidR="00EF54FB" w:rsidRPr="00D912AF" w:rsidRDefault="00EF54FB" w:rsidP="00EF54FB">
      <w:pPr>
        <w:contextualSpacing/>
        <w:jc w:val="both"/>
        <w:rPr>
          <w:rFonts w:eastAsia="Calibri" w:cs="Arial"/>
          <w:i/>
          <w:sz w:val="22"/>
          <w:szCs w:val="22"/>
          <w:lang w:val="ms-MY" w:eastAsia="en-US"/>
        </w:rPr>
      </w:pPr>
      <w:r w:rsidRPr="00D912AF">
        <w:rPr>
          <w:rFonts w:eastAsia="Calibri" w:cs="Arial"/>
          <w:i/>
          <w:sz w:val="22"/>
          <w:szCs w:val="22"/>
          <w:lang w:val="ms-MY" w:eastAsia="en-US"/>
        </w:rPr>
        <w:t>Received</w:t>
      </w:r>
      <w:r w:rsidRPr="00D912AF">
        <w:rPr>
          <w:rFonts w:eastAsia="Calibri" w:cs="Arial"/>
          <w:i/>
          <w:sz w:val="22"/>
          <w:szCs w:val="22"/>
          <w:lang w:val="ms-MY" w:eastAsia="en-US"/>
        </w:rPr>
        <w:tab/>
      </w:r>
      <w:r>
        <w:rPr>
          <w:rFonts w:eastAsia="Calibri" w:cs="Arial"/>
          <w:i/>
          <w:sz w:val="22"/>
          <w:szCs w:val="22"/>
          <w:lang w:val="ms-MY" w:eastAsia="en-US"/>
        </w:rPr>
        <w:t xml:space="preserve">: </w:t>
      </w:r>
    </w:p>
    <w:p w14:paraId="0DB44628" w14:textId="228D550E" w:rsidR="00EF54FB" w:rsidRPr="00D912AF" w:rsidRDefault="00EF54FB" w:rsidP="00EF54FB">
      <w:pPr>
        <w:contextualSpacing/>
        <w:jc w:val="both"/>
        <w:rPr>
          <w:rFonts w:eastAsia="Calibri" w:cs="Arial"/>
          <w:i/>
          <w:sz w:val="22"/>
          <w:szCs w:val="22"/>
          <w:lang w:val="ms-MY" w:eastAsia="en-US"/>
        </w:rPr>
      </w:pPr>
      <w:r w:rsidRPr="00D912AF">
        <w:rPr>
          <w:rFonts w:eastAsia="Calibri" w:cs="Arial"/>
          <w:i/>
          <w:sz w:val="22"/>
          <w:szCs w:val="22"/>
          <w:lang w:val="ms-MY" w:eastAsia="en-US"/>
        </w:rPr>
        <w:t>Accepted</w:t>
      </w:r>
      <w:r w:rsidRPr="00D912AF">
        <w:rPr>
          <w:rFonts w:eastAsia="Calibri" w:cs="Arial"/>
          <w:i/>
          <w:sz w:val="22"/>
          <w:szCs w:val="22"/>
          <w:lang w:val="ms-MY" w:eastAsia="en-US"/>
        </w:rPr>
        <w:tab/>
      </w:r>
      <w:r>
        <w:rPr>
          <w:rFonts w:eastAsia="Calibri" w:cs="Arial"/>
          <w:i/>
          <w:sz w:val="22"/>
          <w:szCs w:val="22"/>
          <w:lang w:val="ms-MY" w:eastAsia="en-US"/>
        </w:rPr>
        <w:t xml:space="preserve">: </w:t>
      </w:r>
    </w:p>
    <w:p w14:paraId="57F41CB6" w14:textId="029F9412" w:rsidR="00EF54FB" w:rsidRPr="00D912AF" w:rsidRDefault="00EF54FB" w:rsidP="00EF54FB">
      <w:pPr>
        <w:contextualSpacing/>
        <w:jc w:val="both"/>
        <w:rPr>
          <w:rFonts w:eastAsia="Calibri" w:cs="Arial"/>
          <w:i/>
          <w:sz w:val="22"/>
          <w:szCs w:val="22"/>
          <w:lang w:val="ms-MY" w:eastAsia="en-US"/>
        </w:rPr>
      </w:pPr>
      <w:r w:rsidRPr="00D912AF">
        <w:rPr>
          <w:rFonts w:eastAsia="Calibri" w:cs="Arial"/>
          <w:i/>
          <w:sz w:val="22"/>
          <w:szCs w:val="22"/>
          <w:lang w:val="ms-MY" w:eastAsia="en-US"/>
        </w:rPr>
        <w:t>Published</w:t>
      </w:r>
      <w:r w:rsidRPr="00D912AF">
        <w:rPr>
          <w:rFonts w:eastAsia="Calibri" w:cs="Arial"/>
          <w:i/>
          <w:sz w:val="22"/>
          <w:szCs w:val="22"/>
          <w:lang w:val="ms-MY" w:eastAsia="en-US"/>
        </w:rPr>
        <w:tab/>
      </w:r>
      <w:r>
        <w:rPr>
          <w:rFonts w:eastAsia="Calibri" w:cs="Arial"/>
          <w:i/>
          <w:sz w:val="22"/>
          <w:szCs w:val="22"/>
          <w:lang w:val="ms-MY" w:eastAsia="en-US"/>
        </w:rPr>
        <w:t xml:space="preserve">: </w:t>
      </w:r>
    </w:p>
    <w:p w14:paraId="00000009" w14:textId="77777777" w:rsidR="00532FEE" w:rsidRDefault="00532FEE">
      <w:pPr>
        <w:pStyle w:val="Heading1"/>
        <w:spacing w:line="480" w:lineRule="auto"/>
        <w:jc w:val="center"/>
        <w:rPr>
          <w:b w:val="0"/>
          <w:sz w:val="20"/>
          <w:szCs w:val="20"/>
        </w:rPr>
      </w:pPr>
    </w:p>
    <w:p w14:paraId="0000000A" w14:textId="257405F3" w:rsidR="00532FEE" w:rsidRDefault="00000000" w:rsidP="00A05DDB">
      <w:pPr>
        <w:keepNext/>
        <w:keepLines/>
        <w:rPr>
          <w:b/>
          <w:sz w:val="22"/>
          <w:szCs w:val="22"/>
        </w:rPr>
      </w:pPr>
      <w:r>
        <w:rPr>
          <w:b/>
          <w:sz w:val="22"/>
          <w:szCs w:val="22"/>
        </w:rPr>
        <w:t>ABSTRAK</w:t>
      </w:r>
      <w:r w:rsidR="00BC2F69">
        <w:rPr>
          <w:b/>
          <w:sz w:val="22"/>
          <w:szCs w:val="22"/>
        </w:rPr>
        <w:t xml:space="preserve"> </w:t>
      </w:r>
      <w:r w:rsidR="00A05DDB">
        <w:rPr>
          <w:b/>
          <w:sz w:val="22"/>
          <w:szCs w:val="22"/>
        </w:rPr>
        <w:t>(Mengandungi l</w:t>
      </w:r>
      <w:r w:rsidR="00A05DDB" w:rsidRPr="00A05DDB">
        <w:rPr>
          <w:b/>
          <w:sz w:val="22"/>
          <w:szCs w:val="22"/>
        </w:rPr>
        <w:t>atar belakang isu kajian</w:t>
      </w:r>
      <w:r w:rsidR="00A05DDB">
        <w:rPr>
          <w:b/>
          <w:sz w:val="22"/>
          <w:szCs w:val="22"/>
        </w:rPr>
        <w:t>, p</w:t>
      </w:r>
      <w:r w:rsidR="00A05DDB" w:rsidRPr="00A05DDB">
        <w:rPr>
          <w:b/>
          <w:sz w:val="22"/>
          <w:szCs w:val="22"/>
        </w:rPr>
        <w:t>ersoalan utama kajian</w:t>
      </w:r>
      <w:r w:rsidR="00A05DDB">
        <w:rPr>
          <w:b/>
          <w:sz w:val="22"/>
          <w:szCs w:val="22"/>
        </w:rPr>
        <w:t>, o</w:t>
      </w:r>
      <w:r w:rsidR="00A05DDB" w:rsidRPr="00A05DDB">
        <w:rPr>
          <w:b/>
          <w:sz w:val="22"/>
          <w:szCs w:val="22"/>
        </w:rPr>
        <w:t>bjektif kajian</w:t>
      </w:r>
      <w:r w:rsidR="00A05DDB">
        <w:rPr>
          <w:b/>
          <w:sz w:val="22"/>
          <w:szCs w:val="22"/>
        </w:rPr>
        <w:t>, k</w:t>
      </w:r>
      <w:r w:rsidR="00A05DDB" w:rsidRPr="00A05DDB">
        <w:rPr>
          <w:b/>
          <w:sz w:val="22"/>
          <w:szCs w:val="22"/>
        </w:rPr>
        <w:t>aedah dan reka bentuk kajian</w:t>
      </w:r>
      <w:r w:rsidR="00A05DDB">
        <w:rPr>
          <w:b/>
          <w:sz w:val="22"/>
          <w:szCs w:val="22"/>
        </w:rPr>
        <w:t>, d</w:t>
      </w:r>
      <w:r w:rsidR="00A05DDB" w:rsidRPr="00A05DDB">
        <w:rPr>
          <w:b/>
          <w:sz w:val="22"/>
          <w:szCs w:val="22"/>
        </w:rPr>
        <w:t>apatan</w:t>
      </w:r>
      <w:r w:rsidR="00A05DDB">
        <w:rPr>
          <w:b/>
          <w:sz w:val="22"/>
          <w:szCs w:val="22"/>
        </w:rPr>
        <w:t xml:space="preserve"> dan </w:t>
      </w:r>
      <w:r w:rsidR="00A05DDB" w:rsidRPr="00A05DDB">
        <w:rPr>
          <w:b/>
          <w:sz w:val="22"/>
          <w:szCs w:val="22"/>
        </w:rPr>
        <w:t>implikasi kajian</w:t>
      </w:r>
      <w:r w:rsidR="00A05DDB">
        <w:rPr>
          <w:b/>
          <w:sz w:val="22"/>
          <w:szCs w:val="22"/>
        </w:rPr>
        <w:t xml:space="preserve"> serta k</w:t>
      </w:r>
      <w:r w:rsidR="00A05DDB" w:rsidRPr="00A05DDB">
        <w:rPr>
          <w:b/>
          <w:sz w:val="22"/>
          <w:szCs w:val="22"/>
        </w:rPr>
        <w:t>ata kunci</w:t>
      </w:r>
      <w:r w:rsidR="00A05DDB">
        <w:rPr>
          <w:b/>
          <w:sz w:val="22"/>
          <w:szCs w:val="22"/>
        </w:rPr>
        <w:t>)</w:t>
      </w:r>
    </w:p>
    <w:p w14:paraId="7D96F7F0" w14:textId="77777777" w:rsidR="00A05DDB" w:rsidRPr="00A05DDB" w:rsidRDefault="00A05DDB" w:rsidP="00A05DDB">
      <w:pPr>
        <w:keepNext/>
        <w:keepLines/>
        <w:rPr>
          <w:b/>
          <w:sz w:val="22"/>
          <w:szCs w:val="22"/>
        </w:rPr>
      </w:pPr>
    </w:p>
    <w:p w14:paraId="3D7208AC" w14:textId="77777777" w:rsidR="00A05DDB" w:rsidRDefault="00A05DDB" w:rsidP="00A05DDB">
      <w:pPr>
        <w:spacing w:line="360" w:lineRule="auto"/>
        <w:jc w:val="both"/>
        <w:rPr>
          <w:sz w:val="22"/>
          <w:szCs w:val="22"/>
        </w:rPr>
      </w:pPr>
      <w:r>
        <w:rPr>
          <w:sz w:val="22"/>
          <w:szCs w:val="22"/>
        </w:rPr>
        <w:t>Institusi takaful antara institusi kewangan Islam yang berkembang pesat pada hari ini. Institusi ini juga antara pembayar zakat di Malaysia. Namun begitu status pembayaran zakat institusi takaful dilihat mempunyai beberapa isu seperti jenis zakat, kaedah pengiraan dan asas zakat. Oleh itu, kajian ini akan melakukan penilaian fiqh terhadap pembayaran zakat institusi takaful di Malaysia. Kajian ini menggunakan pendekatan kualitatif di mana data-data perpustakaan digunakan dan dianalisis secara induktif, deduktif dan komparatif. Hasil kajian mendapati institusi takaful perlu mengeluarkan zakat pendapatan dan menggunakan kaedah pengiraan yang sesuai berasaskan jenis zakat tersebut.</w:t>
      </w:r>
    </w:p>
    <w:p w14:paraId="5AC38241" w14:textId="77777777" w:rsidR="00A05DDB" w:rsidRDefault="00A05DDB" w:rsidP="00A05DDB">
      <w:pPr>
        <w:jc w:val="both"/>
        <w:rPr>
          <w:sz w:val="22"/>
          <w:szCs w:val="22"/>
        </w:rPr>
      </w:pPr>
    </w:p>
    <w:p w14:paraId="1968D44D" w14:textId="77777777" w:rsidR="00A05DDB" w:rsidRDefault="00A05DDB" w:rsidP="00A05DDB">
      <w:pPr>
        <w:jc w:val="both"/>
        <w:rPr>
          <w:sz w:val="22"/>
          <w:szCs w:val="22"/>
        </w:rPr>
      </w:pPr>
      <w:r>
        <w:rPr>
          <w:b/>
          <w:sz w:val="22"/>
          <w:szCs w:val="22"/>
        </w:rPr>
        <w:t>Kata kunci:</w:t>
      </w:r>
      <w:r>
        <w:rPr>
          <w:sz w:val="22"/>
          <w:szCs w:val="22"/>
        </w:rPr>
        <w:t xml:space="preserve"> Takaful, Zakat, Fiqh, Pendapatan, Malaysia</w:t>
      </w:r>
    </w:p>
    <w:p w14:paraId="67BBBFD4" w14:textId="77777777" w:rsidR="00A05DDB" w:rsidRDefault="00A05DDB" w:rsidP="00A05DDB">
      <w:pPr>
        <w:jc w:val="both"/>
        <w:rPr>
          <w:sz w:val="22"/>
          <w:szCs w:val="22"/>
        </w:rPr>
      </w:pPr>
    </w:p>
    <w:p w14:paraId="7DD44C97" w14:textId="23E1099F" w:rsidR="00A05DDB" w:rsidRDefault="00A05DDB" w:rsidP="00BC2F69">
      <w:pPr>
        <w:jc w:val="both"/>
        <w:rPr>
          <w:b/>
          <w:i/>
          <w:sz w:val="22"/>
          <w:szCs w:val="22"/>
        </w:rPr>
      </w:pPr>
      <w:r>
        <w:rPr>
          <w:b/>
          <w:i/>
          <w:sz w:val="22"/>
          <w:szCs w:val="22"/>
        </w:rPr>
        <w:t>ABSTRACT (</w:t>
      </w:r>
      <w:r w:rsidR="006F20D7">
        <w:rPr>
          <w:b/>
          <w:i/>
          <w:sz w:val="22"/>
          <w:szCs w:val="22"/>
        </w:rPr>
        <w:t>Including</w:t>
      </w:r>
      <w:r>
        <w:rPr>
          <w:b/>
          <w:i/>
          <w:sz w:val="22"/>
          <w:szCs w:val="22"/>
        </w:rPr>
        <w:t xml:space="preserve"> </w:t>
      </w:r>
      <w:r w:rsidR="003D7279">
        <w:rPr>
          <w:b/>
          <w:i/>
          <w:sz w:val="22"/>
          <w:szCs w:val="22"/>
        </w:rPr>
        <w:t xml:space="preserve">introduction/ </w:t>
      </w:r>
      <w:r>
        <w:rPr>
          <w:b/>
          <w:i/>
          <w:sz w:val="22"/>
          <w:szCs w:val="22"/>
        </w:rPr>
        <w:t xml:space="preserve">background research, main research issues, research objectives, </w:t>
      </w:r>
      <w:r w:rsidR="003D7279">
        <w:rPr>
          <w:b/>
          <w:i/>
          <w:sz w:val="22"/>
          <w:szCs w:val="22"/>
        </w:rPr>
        <w:t>approach/method, result and implication/contribution and keywords)</w:t>
      </w:r>
    </w:p>
    <w:p w14:paraId="7823C05A" w14:textId="77777777" w:rsidR="00BC2F69" w:rsidRDefault="00BC2F69" w:rsidP="003D7279">
      <w:pPr>
        <w:spacing w:line="360" w:lineRule="auto"/>
        <w:jc w:val="both"/>
        <w:rPr>
          <w:sz w:val="22"/>
          <w:szCs w:val="22"/>
        </w:rPr>
      </w:pPr>
    </w:p>
    <w:p w14:paraId="7134EFBC" w14:textId="06E77297" w:rsidR="00A05DDB" w:rsidRDefault="00000000" w:rsidP="003D7279">
      <w:pPr>
        <w:spacing w:line="360" w:lineRule="auto"/>
        <w:jc w:val="both"/>
        <w:rPr>
          <w:sz w:val="22"/>
          <w:szCs w:val="22"/>
        </w:rPr>
      </w:pPr>
      <w:r>
        <w:rPr>
          <w:sz w:val="22"/>
          <w:szCs w:val="22"/>
        </w:rPr>
        <w:t>A concise, factual and structure abstract is required with maximum length of 300 words. The abstract should state briefly the purpose of the research, the principal results and major conclusions.  Often, an abstract is presented separately from the article, thus it must be able to stand alone. References should be avoided. Abbreviations when first appear should be mentioned in full. If article in Bahasa Melayu, author should prepare additional Abstract &amp; Keywords in English.</w:t>
      </w:r>
    </w:p>
    <w:p w14:paraId="283E2BF4" w14:textId="77777777" w:rsidR="00A05DDB" w:rsidRDefault="00A05DDB" w:rsidP="00A05DDB">
      <w:pPr>
        <w:jc w:val="both"/>
        <w:rPr>
          <w:sz w:val="22"/>
          <w:szCs w:val="22"/>
        </w:rPr>
      </w:pPr>
    </w:p>
    <w:p w14:paraId="5C7A7070" w14:textId="01700716" w:rsidR="00A05DDB" w:rsidRDefault="00A05DDB">
      <w:pPr>
        <w:spacing w:line="360" w:lineRule="auto"/>
        <w:jc w:val="both"/>
        <w:rPr>
          <w:sz w:val="22"/>
          <w:szCs w:val="22"/>
        </w:rPr>
      </w:pPr>
      <w:r w:rsidRPr="00A05DDB">
        <w:rPr>
          <w:b/>
          <w:bCs/>
          <w:sz w:val="22"/>
          <w:szCs w:val="22"/>
        </w:rPr>
        <w:t>Keywords</w:t>
      </w:r>
      <w:r>
        <w:rPr>
          <w:sz w:val="22"/>
          <w:szCs w:val="22"/>
        </w:rPr>
        <w:t xml:space="preserve">: </w:t>
      </w:r>
    </w:p>
    <w:p w14:paraId="0000000D" w14:textId="3BF7E634" w:rsidR="00532FEE" w:rsidRDefault="00000000">
      <w:pPr>
        <w:spacing w:line="480" w:lineRule="auto"/>
        <w:jc w:val="both"/>
        <w:rPr>
          <w:color w:val="FF0000"/>
          <w:sz w:val="22"/>
          <w:szCs w:val="22"/>
        </w:rPr>
      </w:pPr>
      <w:r>
        <w:rPr>
          <w:color w:val="FF0000"/>
          <w:sz w:val="22"/>
          <w:szCs w:val="22"/>
        </w:rPr>
        <w:t>[</w:t>
      </w:r>
      <w:r w:rsidR="003D7279">
        <w:rPr>
          <w:color w:val="FF0000"/>
          <w:sz w:val="22"/>
          <w:szCs w:val="22"/>
        </w:rPr>
        <w:t>Abstrak/</w:t>
      </w:r>
      <w:r>
        <w:rPr>
          <w:color w:val="FF0000"/>
          <w:sz w:val="22"/>
          <w:szCs w:val="22"/>
        </w:rPr>
        <w:t>Abstract 1.0 spacing, font Times New Roman, font size 11 point]</w:t>
      </w:r>
    </w:p>
    <w:p w14:paraId="54755DEB" w14:textId="66DB3A95" w:rsidR="003D7279" w:rsidRDefault="003D7279">
      <w:pPr>
        <w:spacing w:line="480" w:lineRule="auto"/>
        <w:jc w:val="both"/>
        <w:rPr>
          <w:color w:val="FF0000"/>
          <w:sz w:val="22"/>
          <w:szCs w:val="22"/>
        </w:rPr>
      </w:pPr>
      <w:r>
        <w:rPr>
          <w:color w:val="FF0000"/>
          <w:sz w:val="22"/>
          <w:szCs w:val="22"/>
        </w:rPr>
        <w:t>[Abstrak dalam Bahasa Melayu perlu diterjemahkan dalam Bahasa Inggeris, begitu juga sebaliknya]</w:t>
      </w:r>
    </w:p>
    <w:p w14:paraId="0000000E" w14:textId="77777777" w:rsidR="00532FEE" w:rsidRDefault="00532FEE">
      <w:pPr>
        <w:jc w:val="both"/>
        <w:rPr>
          <w:sz w:val="22"/>
          <w:szCs w:val="22"/>
        </w:rPr>
      </w:pPr>
    </w:p>
    <w:p w14:paraId="00000012" w14:textId="77777777" w:rsidR="00532FEE" w:rsidRDefault="00532FEE">
      <w:pPr>
        <w:jc w:val="both"/>
        <w:rPr>
          <w:sz w:val="22"/>
          <w:szCs w:val="22"/>
        </w:rPr>
      </w:pPr>
    </w:p>
    <w:p w14:paraId="00000013" w14:textId="77777777" w:rsidR="00532FEE" w:rsidRDefault="00532FEE">
      <w:pPr>
        <w:jc w:val="both"/>
        <w:rPr>
          <w:sz w:val="22"/>
          <w:szCs w:val="22"/>
        </w:rPr>
      </w:pPr>
    </w:p>
    <w:p w14:paraId="00000014" w14:textId="77777777" w:rsidR="00532FEE" w:rsidRDefault="00000000">
      <w:pPr>
        <w:jc w:val="center"/>
      </w:pPr>
      <w:r>
        <w:rPr>
          <w:b/>
          <w:i/>
        </w:rPr>
        <w:t>RATING OF CRIMINAL JURISDICTION OF SHARIAH COURTS AND ACT 355</w:t>
      </w:r>
    </w:p>
    <w:p w14:paraId="00000015" w14:textId="77777777" w:rsidR="00532FEE" w:rsidRDefault="00532FEE">
      <w:pPr>
        <w:jc w:val="both"/>
        <w:rPr>
          <w:sz w:val="22"/>
          <w:szCs w:val="22"/>
        </w:rPr>
      </w:pPr>
    </w:p>
    <w:p w14:paraId="00000016" w14:textId="77777777" w:rsidR="00532FEE" w:rsidRDefault="00000000" w:rsidP="003D7279">
      <w:pPr>
        <w:keepNext/>
        <w:keepLines/>
        <w:jc w:val="center"/>
        <w:rPr>
          <w:sz w:val="22"/>
          <w:szCs w:val="22"/>
        </w:rPr>
      </w:pPr>
      <w:r>
        <w:rPr>
          <w:b/>
          <w:i/>
          <w:sz w:val="22"/>
          <w:szCs w:val="22"/>
        </w:rPr>
        <w:t>ABSTRACT</w:t>
      </w:r>
    </w:p>
    <w:p w14:paraId="00000017" w14:textId="77777777" w:rsidR="00532FEE" w:rsidRDefault="00532FEE">
      <w:pPr>
        <w:jc w:val="both"/>
        <w:rPr>
          <w:sz w:val="22"/>
          <w:szCs w:val="22"/>
        </w:rPr>
      </w:pPr>
    </w:p>
    <w:p w14:paraId="00000018" w14:textId="77777777" w:rsidR="00532FEE" w:rsidRDefault="00000000">
      <w:pPr>
        <w:spacing w:line="360" w:lineRule="auto"/>
        <w:jc w:val="both"/>
        <w:rPr>
          <w:sz w:val="22"/>
          <w:szCs w:val="22"/>
        </w:rPr>
      </w:pPr>
      <w:r>
        <w:rPr>
          <w:i/>
          <w:sz w:val="22"/>
          <w:szCs w:val="22"/>
        </w:rPr>
        <w:t>Takaful institutions are among the fastest growing Islamic financial institutions today. This institution is one of zakat payers in Malaysia. However, the zakat payment status of takaful institutions is seen to have some issues such as type of zakat, calculation method and zakat basis. Therefore, this study will conduct a fiqh appraisal of the zakat payment of takaful institutions in Malaysia. This study uses a qualitative approach where library data is used and analyzed based on inductive, deductive and comparative methods. The findings show that takaful institutions should issue zakat based on zakat of income and use appropriate calculation methods based on that type of zakat.</w:t>
      </w:r>
    </w:p>
    <w:p w14:paraId="00000019" w14:textId="77777777" w:rsidR="00532FEE" w:rsidRDefault="00532FEE">
      <w:pPr>
        <w:spacing w:line="360" w:lineRule="auto"/>
        <w:jc w:val="both"/>
        <w:rPr>
          <w:sz w:val="22"/>
          <w:szCs w:val="22"/>
        </w:rPr>
      </w:pPr>
    </w:p>
    <w:p w14:paraId="0000001A" w14:textId="77777777" w:rsidR="00532FEE" w:rsidRDefault="00000000">
      <w:pPr>
        <w:rPr>
          <w:sz w:val="22"/>
          <w:szCs w:val="22"/>
        </w:rPr>
      </w:pPr>
      <w:r>
        <w:rPr>
          <w:b/>
          <w:i/>
          <w:sz w:val="22"/>
          <w:szCs w:val="22"/>
        </w:rPr>
        <w:t>Keywords:</w:t>
      </w:r>
      <w:r>
        <w:rPr>
          <w:i/>
          <w:sz w:val="22"/>
          <w:szCs w:val="22"/>
        </w:rPr>
        <w:t xml:space="preserve"> Takaful, Zakat, Fiqh, Income, Malaysia</w:t>
      </w:r>
    </w:p>
    <w:p w14:paraId="0000001B" w14:textId="77777777" w:rsidR="00532FEE" w:rsidRDefault="00532FEE">
      <w:pPr>
        <w:jc w:val="center"/>
        <w:rPr>
          <w:color w:val="FF0000"/>
        </w:rPr>
      </w:pPr>
    </w:p>
    <w:p w14:paraId="0000001C" w14:textId="77777777" w:rsidR="00532FEE" w:rsidRDefault="00000000">
      <w:pPr>
        <w:jc w:val="both"/>
        <w:rPr>
          <w:color w:val="FF0000"/>
          <w:sz w:val="22"/>
          <w:szCs w:val="22"/>
        </w:rPr>
      </w:pPr>
      <w:r>
        <w:rPr>
          <w:color w:val="FF0000"/>
          <w:sz w:val="22"/>
          <w:szCs w:val="22"/>
        </w:rPr>
        <w:t xml:space="preserve">[Left alignment, </w:t>
      </w:r>
      <w:r>
        <w:rPr>
          <w:b/>
          <w:color w:val="FF0000"/>
          <w:sz w:val="22"/>
          <w:szCs w:val="22"/>
        </w:rPr>
        <w:t xml:space="preserve">Times New Roman, font size 11, </w:t>
      </w:r>
      <w:r>
        <w:rPr>
          <w:color w:val="FF0000"/>
          <w:sz w:val="22"/>
          <w:szCs w:val="22"/>
        </w:rPr>
        <w:t xml:space="preserve">Immediately after the abstract, provide a maximum of </w:t>
      </w:r>
      <w:r>
        <w:rPr>
          <w:b/>
          <w:color w:val="000000"/>
          <w:sz w:val="22"/>
          <w:szCs w:val="22"/>
        </w:rPr>
        <w:t>5 keywords</w:t>
      </w:r>
      <w:r>
        <w:rPr>
          <w:color w:val="FF0000"/>
          <w:sz w:val="22"/>
          <w:szCs w:val="22"/>
        </w:rPr>
        <w:t xml:space="preserve"> </w:t>
      </w:r>
      <w:r>
        <w:rPr>
          <w:color w:val="000000"/>
          <w:sz w:val="22"/>
          <w:szCs w:val="22"/>
        </w:rPr>
        <w:t>in lower case letters</w:t>
      </w:r>
      <w:r>
        <w:rPr>
          <w:color w:val="FF0000"/>
          <w:sz w:val="22"/>
          <w:szCs w:val="22"/>
        </w:rPr>
        <w:t>, avoiding general and plural terms and multiple concepts (avoid, “and”, “of” and words in the title). Each keyword is separated by a comma. Only abbreviations firmly established in the field may be eligible. These keywords will be used for indexing purposes.]</w:t>
      </w:r>
    </w:p>
    <w:p w14:paraId="0000001D" w14:textId="77777777" w:rsidR="00532FEE" w:rsidRDefault="00532FEE">
      <w:pPr>
        <w:rPr>
          <w:sz w:val="22"/>
          <w:szCs w:val="22"/>
        </w:rPr>
      </w:pPr>
    </w:p>
    <w:p w14:paraId="0000001E" w14:textId="77777777" w:rsidR="00532FEE" w:rsidRDefault="00000000">
      <w:pPr>
        <w:jc w:val="center"/>
        <w:rPr>
          <w:color w:val="FF0000"/>
          <w:sz w:val="22"/>
          <w:szCs w:val="22"/>
        </w:rPr>
      </w:pPr>
      <w:r>
        <w:rPr>
          <w:sz w:val="22"/>
          <w:szCs w:val="22"/>
        </w:rPr>
        <w:t xml:space="preserve"> </w:t>
      </w:r>
    </w:p>
    <w:p w14:paraId="0000001F" w14:textId="77777777" w:rsidR="00532FEE" w:rsidRDefault="00532FEE">
      <w:pPr>
        <w:jc w:val="center"/>
        <w:rPr>
          <w:color w:val="FF0000"/>
          <w:sz w:val="22"/>
          <w:szCs w:val="22"/>
        </w:rPr>
      </w:pPr>
    </w:p>
    <w:p w14:paraId="00000020" w14:textId="77777777" w:rsidR="00532FEE" w:rsidRDefault="00000000">
      <w:pPr>
        <w:spacing w:line="360" w:lineRule="auto"/>
        <w:rPr>
          <w:color w:val="548DD4"/>
          <w:sz w:val="22"/>
          <w:szCs w:val="22"/>
        </w:rPr>
      </w:pPr>
      <w:r>
        <w:rPr>
          <w:b/>
          <w:sz w:val="22"/>
          <w:szCs w:val="22"/>
        </w:rPr>
        <w:t xml:space="preserve">PENDAHULUAN </w:t>
      </w:r>
      <w:r>
        <w:rPr>
          <w:color w:val="FF0000"/>
          <w:sz w:val="22"/>
          <w:szCs w:val="22"/>
        </w:rPr>
        <w:t>[Heading, left aligned, Times New Roman (font size 11), bold]</w:t>
      </w:r>
    </w:p>
    <w:p w14:paraId="00000021" w14:textId="77777777" w:rsidR="00532FEE" w:rsidRDefault="00532FEE">
      <w:pPr>
        <w:spacing w:line="360" w:lineRule="auto"/>
        <w:rPr>
          <w:color w:val="548DD4"/>
          <w:sz w:val="22"/>
          <w:szCs w:val="22"/>
        </w:rPr>
      </w:pPr>
    </w:p>
    <w:p w14:paraId="00000022" w14:textId="77777777" w:rsidR="00532FEE" w:rsidRDefault="00000000">
      <w:pPr>
        <w:spacing w:line="360" w:lineRule="auto"/>
        <w:jc w:val="both"/>
        <w:rPr>
          <w:color w:val="FF0000"/>
          <w:sz w:val="22"/>
          <w:szCs w:val="22"/>
        </w:rPr>
      </w:pPr>
      <w:r>
        <w:rPr>
          <w:sz w:val="22"/>
          <w:szCs w:val="22"/>
        </w:rPr>
        <w:t>Jenayah di dalam Islam terdiri dari beberapa sejumlah hukuman yang terdiri dari pada hudud, ta’zir dan juga qisas. Pentakrifan jenayah adalah segala bentuk kesalahan di dalam syariat yang di perbolehkan hukuman berdasarkan hukum Allah yang berdasarkan sejumlah hukuman iaitu qisas, hudud atau ta’zir (</w:t>
      </w:r>
      <w:r>
        <w:rPr>
          <w:color w:val="FF0000"/>
        </w:rPr>
        <w:t xml:space="preserve"> </w:t>
      </w:r>
      <w:r>
        <w:rPr>
          <w:color w:val="FF0000"/>
          <w:sz w:val="22"/>
          <w:szCs w:val="22"/>
        </w:rPr>
        <w:t xml:space="preserve">[First paragraph begin from the left, </w:t>
      </w:r>
      <w:r>
        <w:rPr>
          <w:b/>
          <w:color w:val="FF0000"/>
          <w:sz w:val="22"/>
          <w:szCs w:val="22"/>
        </w:rPr>
        <w:t>no spacing between paragraphs</w:t>
      </w:r>
      <w:r>
        <w:rPr>
          <w:color w:val="FF0000"/>
          <w:sz w:val="22"/>
          <w:szCs w:val="22"/>
        </w:rPr>
        <w:t>]</w:t>
      </w:r>
    </w:p>
    <w:p w14:paraId="382CADB1" w14:textId="77777777" w:rsidR="003D7279" w:rsidRDefault="003D7279">
      <w:pPr>
        <w:spacing w:line="360" w:lineRule="auto"/>
        <w:jc w:val="both"/>
        <w:rPr>
          <w:color w:val="FF0000"/>
          <w:sz w:val="22"/>
          <w:szCs w:val="22"/>
        </w:rPr>
      </w:pPr>
    </w:p>
    <w:p w14:paraId="00000023" w14:textId="77777777" w:rsidR="00532FEE" w:rsidRDefault="00000000">
      <w:pPr>
        <w:spacing w:line="360" w:lineRule="auto"/>
        <w:ind w:firstLine="720"/>
        <w:rPr>
          <w:color w:val="000000"/>
          <w:sz w:val="22"/>
          <w:szCs w:val="22"/>
        </w:rPr>
      </w:pPr>
      <w:r>
        <w:rPr>
          <w:color w:val="000000"/>
          <w:sz w:val="22"/>
          <w:szCs w:val="22"/>
        </w:rPr>
        <w:t xml:space="preserve">Citation of one reference </w:t>
      </w:r>
      <w:r>
        <w:rPr>
          <w:sz w:val="22"/>
          <w:szCs w:val="22"/>
        </w:rPr>
        <w:t xml:space="preserve">in the text from a publication by one or two authors, name of both authors should be written </w:t>
      </w:r>
      <w:r>
        <w:rPr>
          <w:color w:val="000000"/>
          <w:sz w:val="22"/>
          <w:szCs w:val="22"/>
        </w:rPr>
        <w:t>(</w:t>
      </w:r>
      <w:r>
        <w:rPr>
          <w:color w:val="0070C0"/>
          <w:sz w:val="22"/>
          <w:szCs w:val="22"/>
        </w:rPr>
        <w:t>Hall, 2011; Hall &amp; Fitzgerald, 2016</w:t>
      </w:r>
      <w:r>
        <w:rPr>
          <w:color w:val="000000"/>
          <w:sz w:val="22"/>
          <w:szCs w:val="22"/>
        </w:rPr>
        <w:t>).</w:t>
      </w:r>
    </w:p>
    <w:p w14:paraId="773C907A" w14:textId="77777777" w:rsidR="003D7279" w:rsidRDefault="003D7279">
      <w:pPr>
        <w:spacing w:line="360" w:lineRule="auto"/>
        <w:ind w:firstLine="720"/>
        <w:rPr>
          <w:color w:val="FF0000"/>
          <w:sz w:val="22"/>
          <w:szCs w:val="22"/>
        </w:rPr>
      </w:pPr>
    </w:p>
    <w:p w14:paraId="00000024" w14:textId="77777777" w:rsidR="00532FEE" w:rsidRDefault="00000000">
      <w:pPr>
        <w:spacing w:line="360" w:lineRule="auto"/>
        <w:ind w:firstLine="720"/>
        <w:jc w:val="both"/>
        <w:rPr>
          <w:color w:val="000000"/>
          <w:sz w:val="22"/>
          <w:szCs w:val="22"/>
        </w:rPr>
      </w:pPr>
      <w:r>
        <w:rPr>
          <w:sz w:val="22"/>
          <w:szCs w:val="22"/>
        </w:rPr>
        <w:t>Citation of one reference is in the text from a publication written by three or more authors, the name of the first author should be used and followed by “</w:t>
      </w:r>
      <w:r>
        <w:rPr>
          <w:i/>
          <w:sz w:val="22"/>
          <w:szCs w:val="22"/>
        </w:rPr>
        <w:t>et al.,</w:t>
      </w:r>
      <w:r>
        <w:rPr>
          <w:sz w:val="22"/>
          <w:szCs w:val="22"/>
        </w:rPr>
        <w:t xml:space="preserve">” </w:t>
      </w:r>
      <w:r>
        <w:rPr>
          <w:color w:val="000000"/>
          <w:sz w:val="22"/>
          <w:szCs w:val="22"/>
        </w:rPr>
        <w:t>(</w:t>
      </w:r>
      <w:r>
        <w:rPr>
          <w:color w:val="0070C0"/>
          <w:sz w:val="22"/>
          <w:szCs w:val="22"/>
        </w:rPr>
        <w:t xml:space="preserve">Hall </w:t>
      </w:r>
      <w:r>
        <w:rPr>
          <w:i/>
          <w:color w:val="0070C0"/>
          <w:sz w:val="22"/>
          <w:szCs w:val="22"/>
        </w:rPr>
        <w:t>et al</w:t>
      </w:r>
      <w:r>
        <w:rPr>
          <w:color w:val="0070C0"/>
          <w:sz w:val="22"/>
          <w:szCs w:val="22"/>
        </w:rPr>
        <w:t>., 2008</w:t>
      </w:r>
      <w:r>
        <w:rPr>
          <w:color w:val="000000"/>
          <w:sz w:val="22"/>
          <w:szCs w:val="22"/>
        </w:rPr>
        <w:t>).</w:t>
      </w:r>
    </w:p>
    <w:p w14:paraId="5C257FCB" w14:textId="77777777" w:rsidR="003D7279" w:rsidRDefault="003D7279">
      <w:pPr>
        <w:spacing w:line="360" w:lineRule="auto"/>
        <w:ind w:firstLine="720"/>
        <w:jc w:val="both"/>
        <w:rPr>
          <w:color w:val="548DD4"/>
          <w:sz w:val="22"/>
          <w:szCs w:val="22"/>
        </w:rPr>
      </w:pPr>
    </w:p>
    <w:p w14:paraId="00000025" w14:textId="77777777" w:rsidR="00532FEE" w:rsidRDefault="00000000">
      <w:pPr>
        <w:spacing w:line="360" w:lineRule="auto"/>
        <w:ind w:firstLine="720"/>
        <w:jc w:val="both"/>
        <w:rPr>
          <w:color w:val="000000"/>
          <w:sz w:val="22"/>
          <w:szCs w:val="22"/>
        </w:rPr>
      </w:pPr>
      <w:r>
        <w:rPr>
          <w:sz w:val="22"/>
          <w:szCs w:val="22"/>
        </w:rPr>
        <w:t xml:space="preserve">Citation of more than two references by the same author or authors, list the citations in chronological arrangement with the earliest first, </w:t>
      </w:r>
      <w:r>
        <w:rPr>
          <w:color w:val="000000"/>
          <w:sz w:val="22"/>
          <w:szCs w:val="22"/>
        </w:rPr>
        <w:t>(</w:t>
      </w:r>
      <w:r>
        <w:rPr>
          <w:color w:val="0070C0"/>
          <w:sz w:val="22"/>
          <w:szCs w:val="22"/>
        </w:rPr>
        <w:t xml:space="preserve">Azmi, 2015; 2017; Mohd </w:t>
      </w:r>
      <w:r>
        <w:rPr>
          <w:i/>
          <w:color w:val="0070C0"/>
          <w:sz w:val="22"/>
          <w:szCs w:val="22"/>
        </w:rPr>
        <w:t>et al</w:t>
      </w:r>
      <w:r>
        <w:rPr>
          <w:color w:val="0070C0"/>
          <w:sz w:val="22"/>
          <w:szCs w:val="22"/>
        </w:rPr>
        <w:t>., 2017; 2018</w:t>
      </w:r>
      <w:r>
        <w:rPr>
          <w:color w:val="000000"/>
          <w:sz w:val="22"/>
          <w:szCs w:val="22"/>
        </w:rPr>
        <w:t>).</w:t>
      </w:r>
    </w:p>
    <w:p w14:paraId="2EA37BCC" w14:textId="77777777" w:rsidR="003D7279" w:rsidRDefault="003D7279">
      <w:pPr>
        <w:spacing w:line="360" w:lineRule="auto"/>
        <w:ind w:firstLine="720"/>
        <w:jc w:val="both"/>
        <w:rPr>
          <w:color w:val="548DD4"/>
          <w:sz w:val="22"/>
          <w:szCs w:val="22"/>
        </w:rPr>
      </w:pPr>
    </w:p>
    <w:p w14:paraId="00000026" w14:textId="77777777" w:rsidR="00532FEE" w:rsidRDefault="00000000">
      <w:pPr>
        <w:spacing w:line="360" w:lineRule="auto"/>
        <w:ind w:firstLine="720"/>
        <w:jc w:val="both"/>
        <w:rPr>
          <w:color w:val="000000"/>
          <w:sz w:val="22"/>
          <w:szCs w:val="22"/>
        </w:rPr>
      </w:pPr>
      <w:r>
        <w:rPr>
          <w:sz w:val="22"/>
          <w:szCs w:val="22"/>
        </w:rPr>
        <w:lastRenderedPageBreak/>
        <w:t xml:space="preserve">Citation of references for more than two publications by the same author or authors within the same year, list the citations with ‘alphabet’ after the year, </w:t>
      </w:r>
      <w:r>
        <w:rPr>
          <w:color w:val="000000"/>
          <w:sz w:val="22"/>
          <w:szCs w:val="22"/>
        </w:rPr>
        <w:t>(</w:t>
      </w:r>
      <w:r>
        <w:rPr>
          <w:color w:val="0070C0"/>
          <w:sz w:val="22"/>
          <w:szCs w:val="22"/>
        </w:rPr>
        <w:t xml:space="preserve">Azmi, 2015a; 2015b; Mohd </w:t>
      </w:r>
      <w:r>
        <w:rPr>
          <w:i/>
          <w:color w:val="0070C0"/>
          <w:sz w:val="22"/>
          <w:szCs w:val="22"/>
        </w:rPr>
        <w:t>et al</w:t>
      </w:r>
      <w:r>
        <w:rPr>
          <w:color w:val="0070C0"/>
          <w:sz w:val="22"/>
          <w:szCs w:val="22"/>
        </w:rPr>
        <w:t>., 2018a; 2018b; 2018c</w:t>
      </w:r>
      <w:r>
        <w:rPr>
          <w:color w:val="000000"/>
          <w:sz w:val="22"/>
          <w:szCs w:val="22"/>
        </w:rPr>
        <w:t>).</w:t>
      </w:r>
    </w:p>
    <w:p w14:paraId="7D23FA90" w14:textId="77777777" w:rsidR="003D7279" w:rsidRDefault="003D7279">
      <w:pPr>
        <w:spacing w:line="360" w:lineRule="auto"/>
        <w:ind w:firstLine="720"/>
        <w:jc w:val="both"/>
        <w:rPr>
          <w:color w:val="000000"/>
          <w:sz w:val="22"/>
          <w:szCs w:val="22"/>
        </w:rPr>
      </w:pPr>
    </w:p>
    <w:p w14:paraId="00000027" w14:textId="77777777" w:rsidR="00532FEE" w:rsidRDefault="00000000">
      <w:pPr>
        <w:spacing w:line="360" w:lineRule="auto"/>
        <w:ind w:firstLine="720"/>
        <w:jc w:val="both"/>
        <w:rPr>
          <w:color w:val="FF0000"/>
          <w:sz w:val="22"/>
          <w:szCs w:val="22"/>
        </w:rPr>
      </w:pPr>
      <w:r>
        <w:rPr>
          <w:color w:val="000000"/>
          <w:sz w:val="22"/>
          <w:szCs w:val="22"/>
        </w:rPr>
        <w:t>Symbols and abbreviations e.g. United Nation (UN) should be specified and spelled out for the first time. SI-units should be used wherever possible. A space must be provided after value before the unit.</w:t>
      </w:r>
      <w:r>
        <w:rPr>
          <w:color w:val="FF0000"/>
          <w:sz w:val="22"/>
          <w:szCs w:val="22"/>
        </w:rPr>
        <w:t xml:space="preserve"> </w:t>
      </w:r>
    </w:p>
    <w:p w14:paraId="00000028" w14:textId="77777777" w:rsidR="00532FEE" w:rsidRDefault="00532FEE">
      <w:pPr>
        <w:spacing w:line="360" w:lineRule="auto"/>
        <w:ind w:firstLine="720"/>
        <w:jc w:val="both"/>
        <w:rPr>
          <w:color w:val="FF0000"/>
          <w:sz w:val="22"/>
          <w:szCs w:val="22"/>
        </w:rPr>
      </w:pPr>
    </w:p>
    <w:p w14:paraId="00000029" w14:textId="77777777" w:rsidR="00532FEE" w:rsidRDefault="00000000">
      <w:pPr>
        <w:spacing w:line="360" w:lineRule="auto"/>
        <w:ind w:firstLine="567"/>
        <w:jc w:val="both"/>
        <w:rPr>
          <w:sz w:val="22"/>
          <w:szCs w:val="22"/>
        </w:rPr>
      </w:pPr>
      <w:r>
        <w:rPr>
          <w:sz w:val="22"/>
          <w:szCs w:val="22"/>
        </w:rPr>
        <w:t>Al-Zamakhsyari (1998) juga jelas mewajibkan zakat kepada semua pendapatan yang diperolehi hasil usaha yang dilakukan oleh orang Islam bersandarkan ayat tersebut.</w:t>
      </w:r>
    </w:p>
    <w:p w14:paraId="0000002A" w14:textId="77777777" w:rsidR="00532FEE" w:rsidRDefault="00532FEE">
      <w:pPr>
        <w:spacing w:line="360" w:lineRule="auto"/>
        <w:jc w:val="both"/>
        <w:rPr>
          <w:sz w:val="22"/>
          <w:szCs w:val="22"/>
        </w:rPr>
      </w:pPr>
    </w:p>
    <w:p w14:paraId="0000002B" w14:textId="77777777" w:rsidR="00532FEE" w:rsidRDefault="00000000">
      <w:pPr>
        <w:spacing w:line="360" w:lineRule="auto"/>
        <w:jc w:val="both"/>
        <w:rPr>
          <w:sz w:val="22"/>
          <w:szCs w:val="22"/>
        </w:rPr>
      </w:pPr>
      <w:r>
        <w:rPr>
          <w:sz w:val="22"/>
          <w:szCs w:val="22"/>
        </w:rPr>
        <w:t>Sabda Rasulullah s.a.w:</w:t>
      </w:r>
    </w:p>
    <w:p w14:paraId="0000002C" w14:textId="77777777" w:rsidR="00532FEE" w:rsidRDefault="00000000">
      <w:pPr>
        <w:tabs>
          <w:tab w:val="right" w:pos="6633"/>
        </w:tabs>
        <w:bidi/>
        <w:spacing w:line="360" w:lineRule="auto"/>
        <w:ind w:left="804" w:right="851"/>
        <w:jc w:val="both"/>
        <w:rPr>
          <w:rFonts w:ascii="Palatino Linotype" w:eastAsia="Palatino Linotype" w:hAnsi="Palatino Linotype" w:cs="Palatino Linotype"/>
          <w:sz w:val="32"/>
          <w:szCs w:val="32"/>
        </w:rPr>
      </w:pPr>
      <w:r>
        <w:rPr>
          <w:rFonts w:ascii="Palatino Linotype" w:eastAsia="Palatino Linotype" w:hAnsi="Palatino Linotype" w:cs="Palatino Linotype"/>
          <w:sz w:val="32"/>
          <w:szCs w:val="32"/>
          <w:rtl/>
        </w:rPr>
        <w:t>عَلَى كُلِّ مُسْلِمٍ صَدَقَةٌ فَقَالُوا يَا نَبِيَّ اللَّهِ فَمَنْ لَمْ يَجِدْ قَالَ يَعْمَلُ بِيَدِهِ فَيَنْفَعُ نَفْسَهُ وَيَتَصَدَّقُ قَالُوا فَإِنْ لَمْ يَجِدْ قَالَ يُعِينُ ذَا الْحَاجَةِ الْمَلْهُوفَ قَالُوا فَإِنْ لَمْ يَجِدْ قَالَ فَلْيَعْمَلْ بِالْمَعْرُوفِ وَلْيُمْسِكْ عَنْ الشَّرِّ فَإِنَّهَا لَهُ صَدَقَةٌ</w:t>
      </w:r>
    </w:p>
    <w:p w14:paraId="0000002D" w14:textId="77777777" w:rsidR="00532FEE" w:rsidRDefault="00532FEE">
      <w:pPr>
        <w:spacing w:line="360" w:lineRule="auto"/>
        <w:ind w:left="804" w:right="851"/>
        <w:jc w:val="both"/>
        <w:rPr>
          <w:sz w:val="22"/>
          <w:szCs w:val="22"/>
        </w:rPr>
      </w:pPr>
    </w:p>
    <w:p w14:paraId="0000002E" w14:textId="77777777" w:rsidR="00532FEE" w:rsidRDefault="00000000">
      <w:pPr>
        <w:spacing w:line="360" w:lineRule="auto"/>
        <w:ind w:left="804" w:right="851"/>
        <w:jc w:val="both"/>
        <w:rPr>
          <w:sz w:val="22"/>
          <w:szCs w:val="22"/>
        </w:rPr>
      </w:pPr>
      <w:r>
        <w:rPr>
          <w:sz w:val="22"/>
          <w:szCs w:val="22"/>
        </w:rPr>
        <w:t xml:space="preserve">Yang bermaksud: </w:t>
      </w:r>
      <w:r>
        <w:rPr>
          <w:i/>
          <w:sz w:val="22"/>
          <w:szCs w:val="22"/>
        </w:rPr>
        <w:t xml:space="preserve">Wajib ke atas setiap orang Islam menunaikan zakat., Mereka bertanya: Wahai Nabi Allah, sekiranya kami tidak mempunyai harta, bagaimana? Jawab Baginda s.a.w: Berusahalah dengan sepenuh tenaga bagi menyara diri, kemudian bayarlah zakat. Mereka bertanya lagi: Sekiranya usaha itu tidak berhasil? Baginda menjawab: Berusahalah dalam perkara kebaikan dan mencegah daripada keburukan. Sesungguhnya pekerjaan itu bagi kamu adalah sedekah (zakat). </w:t>
      </w:r>
      <w:r>
        <w:rPr>
          <w:sz w:val="22"/>
          <w:szCs w:val="22"/>
        </w:rPr>
        <w:t>(Hadis riwayat al-Bukhari dan al-Nasa’i)</w:t>
      </w:r>
    </w:p>
    <w:p w14:paraId="0000002F" w14:textId="77777777" w:rsidR="00532FEE" w:rsidRDefault="00532FEE">
      <w:pPr>
        <w:spacing w:line="360" w:lineRule="auto"/>
        <w:jc w:val="both"/>
        <w:rPr>
          <w:sz w:val="22"/>
          <w:szCs w:val="22"/>
        </w:rPr>
      </w:pPr>
    </w:p>
    <w:p w14:paraId="00000031" w14:textId="68506863" w:rsidR="00532FEE" w:rsidRPr="003D7279" w:rsidRDefault="00000000" w:rsidP="003D7279">
      <w:pPr>
        <w:spacing w:line="360" w:lineRule="auto"/>
        <w:ind w:firstLine="720"/>
        <w:jc w:val="both"/>
        <w:rPr>
          <w:color w:val="FF0000"/>
          <w:sz w:val="22"/>
          <w:szCs w:val="22"/>
        </w:rPr>
      </w:pPr>
      <w:r>
        <w:rPr>
          <w:sz w:val="22"/>
          <w:szCs w:val="22"/>
        </w:rPr>
        <w:t>Perkataan “</w:t>
      </w:r>
      <w:r>
        <w:rPr>
          <w:i/>
          <w:sz w:val="22"/>
          <w:szCs w:val="22"/>
        </w:rPr>
        <w:t>Ala kulli muslim sadaqah</w:t>
      </w:r>
      <w:r>
        <w:rPr>
          <w:sz w:val="22"/>
          <w:szCs w:val="22"/>
        </w:rPr>
        <w:t>” membawa maksud bahawa zakat pendapatan hukumnya adalah wajib (al-‘Ayni, 2010). Pada luarannya hadis tersebut memberi makna yang luas, kerana zakat yang ditumpukan tidak hanya tertumpu kepada keuntungan harta modal semata-mata atau kepada zakat wajib yang ditetapkan di dalam kitab fiqh (Mujaini, 2012), bahkan ia merangkumi seluruh usaha dan pekerjaan, pendapatan perkhidmatan yang dilakukan (al-‘Ayni, t.t.).</w:t>
      </w:r>
    </w:p>
    <w:p w14:paraId="00000032" w14:textId="77777777" w:rsidR="00532FEE" w:rsidRDefault="00532FEE">
      <w:pPr>
        <w:spacing w:line="360" w:lineRule="auto"/>
        <w:jc w:val="center"/>
        <w:rPr>
          <w:color w:val="FF0000"/>
          <w:sz w:val="22"/>
          <w:szCs w:val="22"/>
        </w:rPr>
      </w:pPr>
    </w:p>
    <w:p w14:paraId="00000033" w14:textId="77777777" w:rsidR="00532FEE" w:rsidRDefault="00000000">
      <w:pPr>
        <w:spacing w:line="360" w:lineRule="auto"/>
        <w:rPr>
          <w:sz w:val="22"/>
          <w:szCs w:val="22"/>
        </w:rPr>
      </w:pPr>
      <w:r>
        <w:rPr>
          <w:b/>
          <w:sz w:val="22"/>
          <w:szCs w:val="22"/>
        </w:rPr>
        <w:t>Conclusion</w:t>
      </w:r>
    </w:p>
    <w:p w14:paraId="00000034" w14:textId="77777777" w:rsidR="00532FEE" w:rsidRDefault="00000000">
      <w:pPr>
        <w:spacing w:line="360" w:lineRule="auto"/>
        <w:jc w:val="both"/>
        <w:rPr>
          <w:sz w:val="22"/>
          <w:szCs w:val="22"/>
        </w:rPr>
      </w:pPr>
      <w:r>
        <w:rPr>
          <w:sz w:val="22"/>
          <w:szCs w:val="22"/>
        </w:rPr>
        <w:t>The conclusion connects the findings to a larger context, such as the wider conversation about an issue and the journal theme. It suggests the implications of your findings or the importance of the topic</w:t>
      </w:r>
      <w:r>
        <w:rPr>
          <w:b/>
          <w:sz w:val="22"/>
          <w:szCs w:val="22"/>
        </w:rPr>
        <w:t xml:space="preserve">. </w:t>
      </w:r>
      <w:r>
        <w:rPr>
          <w:sz w:val="22"/>
          <w:szCs w:val="22"/>
        </w:rPr>
        <w:t>Asking questions or suggesting ideas for further research and revisiting your main idea or research question with new insight.</w:t>
      </w:r>
    </w:p>
    <w:p w14:paraId="00000035" w14:textId="77777777" w:rsidR="00532FEE" w:rsidRDefault="00000000">
      <w:pPr>
        <w:spacing w:line="360" w:lineRule="auto"/>
        <w:jc w:val="center"/>
        <w:rPr>
          <w:color w:val="FF0000"/>
          <w:sz w:val="22"/>
          <w:szCs w:val="22"/>
        </w:rPr>
      </w:pPr>
      <w:r>
        <w:rPr>
          <w:b/>
          <w:color w:val="FF0000"/>
          <w:sz w:val="22"/>
          <w:szCs w:val="22"/>
        </w:rPr>
        <w:lastRenderedPageBreak/>
        <w:t xml:space="preserve"> [Single spacing]</w:t>
      </w:r>
    </w:p>
    <w:p w14:paraId="00000036" w14:textId="77777777" w:rsidR="00532FEE" w:rsidRDefault="00532FEE">
      <w:pPr>
        <w:spacing w:line="360" w:lineRule="auto"/>
        <w:rPr>
          <w:sz w:val="22"/>
          <w:szCs w:val="22"/>
        </w:rPr>
      </w:pPr>
    </w:p>
    <w:p w14:paraId="00000037" w14:textId="77777777" w:rsidR="00532FEE" w:rsidRDefault="00000000">
      <w:pPr>
        <w:widowControl w:val="0"/>
        <w:ind w:left="540" w:right="390" w:hanging="540"/>
        <w:jc w:val="both"/>
        <w:rPr>
          <w:color w:val="231F20"/>
        </w:rPr>
      </w:pPr>
      <w:r>
        <w:rPr>
          <w:b/>
          <w:color w:val="231F20"/>
        </w:rPr>
        <w:t>Author Contributions</w:t>
      </w:r>
    </w:p>
    <w:p w14:paraId="00000038" w14:textId="77777777" w:rsidR="00532FEE" w:rsidRDefault="00532FEE">
      <w:pPr>
        <w:widowControl w:val="0"/>
        <w:rPr>
          <w:sz w:val="22"/>
          <w:szCs w:val="22"/>
        </w:rPr>
      </w:pPr>
    </w:p>
    <w:p w14:paraId="00000039" w14:textId="77777777" w:rsidR="00532FEE" w:rsidRDefault="00000000">
      <w:pPr>
        <w:widowControl w:val="0"/>
        <w:ind w:right="380"/>
        <w:jc w:val="both"/>
        <w:rPr>
          <w:color w:val="231F20"/>
          <w:sz w:val="22"/>
          <w:szCs w:val="22"/>
        </w:rPr>
      </w:pPr>
      <w:r>
        <w:rPr>
          <w:color w:val="231F20"/>
          <w:sz w:val="22"/>
          <w:szCs w:val="22"/>
        </w:rPr>
        <w:t>Individual contributions of authors should be specified in this section to give appropriate credit to each author, for example:</w:t>
      </w:r>
    </w:p>
    <w:p w14:paraId="0000003A" w14:textId="77777777" w:rsidR="00532FEE" w:rsidRDefault="00532FEE">
      <w:pPr>
        <w:widowControl w:val="0"/>
        <w:rPr>
          <w:sz w:val="22"/>
          <w:szCs w:val="22"/>
        </w:rPr>
      </w:pPr>
    </w:p>
    <w:p w14:paraId="0000003B" w14:textId="77777777" w:rsidR="00532FEE" w:rsidRDefault="00000000">
      <w:pPr>
        <w:widowControl w:val="0"/>
        <w:ind w:right="380"/>
        <w:jc w:val="both"/>
        <w:rPr>
          <w:color w:val="231F20"/>
          <w:sz w:val="22"/>
          <w:szCs w:val="22"/>
        </w:rPr>
      </w:pPr>
      <w:r>
        <w:rPr>
          <w:color w:val="231F20"/>
          <w:sz w:val="22"/>
          <w:szCs w:val="22"/>
        </w:rPr>
        <w:t>M.R. Author: Conceptualization, Methodology, Software, Writing- Original Draft Preparation; Y.Y. Author: Data Curation, Validation, Supervision; T.A. Author: Software, Validation, Writing-Reviewing and Editing.</w:t>
      </w:r>
    </w:p>
    <w:p w14:paraId="0000003C" w14:textId="77777777" w:rsidR="00532FEE" w:rsidRDefault="00532FEE">
      <w:pPr>
        <w:widowControl w:val="0"/>
        <w:rPr>
          <w:rFonts w:ascii="Calibri" w:eastAsia="Calibri" w:hAnsi="Calibri" w:cs="Calibri"/>
          <w:sz w:val="22"/>
          <w:szCs w:val="22"/>
        </w:rPr>
      </w:pPr>
    </w:p>
    <w:p w14:paraId="0000003D" w14:textId="77777777" w:rsidR="00532FEE" w:rsidRDefault="00532FEE">
      <w:pPr>
        <w:widowControl w:val="0"/>
        <w:rPr>
          <w:rFonts w:ascii="Calibri" w:eastAsia="Calibri" w:hAnsi="Calibri" w:cs="Calibri"/>
          <w:sz w:val="22"/>
          <w:szCs w:val="22"/>
        </w:rPr>
      </w:pPr>
    </w:p>
    <w:p w14:paraId="0000003E" w14:textId="77777777" w:rsidR="00532FEE" w:rsidRDefault="00000000">
      <w:pPr>
        <w:widowControl w:val="0"/>
        <w:ind w:left="540" w:right="390" w:hanging="540"/>
        <w:jc w:val="both"/>
        <w:rPr>
          <w:color w:val="231F20"/>
        </w:rPr>
      </w:pPr>
      <w:r>
        <w:rPr>
          <w:b/>
          <w:color w:val="231F20"/>
        </w:rPr>
        <w:t>Conflicts Of Interest</w:t>
      </w:r>
    </w:p>
    <w:p w14:paraId="0000003F" w14:textId="77777777" w:rsidR="00532FEE" w:rsidRDefault="00532FEE">
      <w:pPr>
        <w:widowControl w:val="0"/>
        <w:spacing w:before="5"/>
        <w:ind w:left="987" w:right="391" w:hanging="539"/>
        <w:jc w:val="both"/>
        <w:rPr>
          <w:rFonts w:ascii="Palatino Linotype" w:eastAsia="Palatino Linotype" w:hAnsi="Palatino Linotype" w:cs="Palatino Linotype"/>
          <w:color w:val="231F20"/>
          <w:sz w:val="12"/>
          <w:szCs w:val="12"/>
        </w:rPr>
      </w:pPr>
    </w:p>
    <w:p w14:paraId="00000040" w14:textId="77777777" w:rsidR="00532FEE" w:rsidRDefault="00532FEE">
      <w:pPr>
        <w:widowControl w:val="0"/>
        <w:spacing w:before="5"/>
        <w:rPr>
          <w:rFonts w:ascii="Calibri" w:eastAsia="Calibri" w:hAnsi="Calibri" w:cs="Calibri"/>
          <w:sz w:val="10"/>
          <w:szCs w:val="10"/>
        </w:rPr>
      </w:pPr>
    </w:p>
    <w:p w14:paraId="00000041" w14:textId="77777777" w:rsidR="00532FEE" w:rsidRDefault="00000000">
      <w:pPr>
        <w:widowControl w:val="0"/>
        <w:ind w:right="380"/>
        <w:jc w:val="both"/>
        <w:rPr>
          <w:color w:val="231F20"/>
          <w:sz w:val="22"/>
          <w:szCs w:val="22"/>
        </w:rPr>
      </w:pPr>
      <w:r>
        <w:rPr>
          <w:color w:val="231F20"/>
          <w:sz w:val="22"/>
          <w:szCs w:val="22"/>
        </w:rPr>
        <w:t>The manuscript has not been published elsewhere and is not under consideration by other journals. All authors have approved the review, agree with its submission and declare no conflict of interest on the manuscript.</w:t>
      </w:r>
    </w:p>
    <w:p w14:paraId="00000042" w14:textId="77777777" w:rsidR="00532FEE" w:rsidRDefault="00532FEE">
      <w:pPr>
        <w:widowControl w:val="0"/>
        <w:rPr>
          <w:rFonts w:ascii="Palatino Linotype" w:eastAsia="Palatino Linotype" w:hAnsi="Palatino Linotype" w:cs="Palatino Linotype"/>
          <w:sz w:val="22"/>
          <w:szCs w:val="22"/>
        </w:rPr>
      </w:pPr>
    </w:p>
    <w:p w14:paraId="00000043" w14:textId="77777777" w:rsidR="00532FEE" w:rsidRDefault="00532FEE">
      <w:pPr>
        <w:spacing w:line="360" w:lineRule="auto"/>
        <w:rPr>
          <w:sz w:val="22"/>
          <w:szCs w:val="22"/>
        </w:rPr>
      </w:pPr>
    </w:p>
    <w:p w14:paraId="00000044" w14:textId="77777777" w:rsidR="00532FEE" w:rsidRDefault="00000000">
      <w:pPr>
        <w:spacing w:line="360" w:lineRule="auto"/>
        <w:rPr>
          <w:sz w:val="22"/>
          <w:szCs w:val="22"/>
        </w:rPr>
      </w:pPr>
      <w:r>
        <w:rPr>
          <w:b/>
          <w:sz w:val="22"/>
          <w:szCs w:val="22"/>
        </w:rPr>
        <w:t xml:space="preserve">References </w:t>
      </w:r>
    </w:p>
    <w:p w14:paraId="00000045" w14:textId="77777777" w:rsidR="00532FEE" w:rsidRDefault="00532FEE">
      <w:pPr>
        <w:spacing w:line="360" w:lineRule="auto"/>
        <w:rPr>
          <w:sz w:val="22"/>
          <w:szCs w:val="22"/>
        </w:rPr>
      </w:pPr>
    </w:p>
    <w:p w14:paraId="00000046" w14:textId="77777777" w:rsidR="00532FEE" w:rsidRDefault="00000000">
      <w:pPr>
        <w:spacing w:line="360" w:lineRule="auto"/>
        <w:rPr>
          <w:color w:val="FF0000"/>
          <w:sz w:val="22"/>
          <w:szCs w:val="22"/>
        </w:rPr>
      </w:pPr>
      <w:r>
        <w:rPr>
          <w:i/>
          <w:color w:val="FF0000"/>
          <w:sz w:val="22"/>
          <w:szCs w:val="22"/>
        </w:rPr>
        <w:t xml:space="preserve">Follow APA style citations. Bibliography settings with assistant softwares eg. EndNote, Mendeley, BibTex etc should follow APA style. </w:t>
      </w:r>
    </w:p>
    <w:p w14:paraId="00000047" w14:textId="77777777" w:rsidR="00532FEE" w:rsidRDefault="00000000">
      <w:pPr>
        <w:spacing w:line="360" w:lineRule="auto"/>
        <w:rPr>
          <w:color w:val="FF0000"/>
          <w:sz w:val="22"/>
          <w:szCs w:val="22"/>
        </w:rPr>
      </w:pPr>
      <w:r>
        <w:rPr>
          <w:i/>
          <w:color w:val="FF0000"/>
          <w:sz w:val="22"/>
          <w:szCs w:val="22"/>
        </w:rPr>
        <w:t xml:space="preserve">For reference preparation, kindly refer: </w:t>
      </w:r>
      <w:hyperlink r:id="rId7">
        <w:r>
          <w:rPr>
            <w:i/>
            <w:color w:val="0000FF"/>
            <w:sz w:val="22"/>
            <w:szCs w:val="22"/>
            <w:u w:val="single"/>
          </w:rPr>
          <w:t>https://www.mendeley.com/guides/apa-citation-guide</w:t>
        </w:r>
      </w:hyperlink>
      <w:r>
        <w:rPr>
          <w:i/>
          <w:color w:val="FF0000"/>
          <w:sz w:val="22"/>
          <w:szCs w:val="22"/>
        </w:rPr>
        <w:t xml:space="preserve"> </w:t>
      </w:r>
    </w:p>
    <w:sectPr w:rsidR="00532FEE" w:rsidSect="00AF42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851" w:footer="99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F2AD" w14:textId="77777777" w:rsidR="00AF4241" w:rsidRDefault="00AF4241">
      <w:r>
        <w:separator/>
      </w:r>
    </w:p>
  </w:endnote>
  <w:endnote w:type="continuationSeparator" w:id="0">
    <w:p w14:paraId="6DCDCA96" w14:textId="77777777" w:rsidR="00AF4241" w:rsidRDefault="00AF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91C" w14:textId="77777777" w:rsidR="00DC4951" w:rsidRDefault="00DC4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289397"/>
      <w:docPartObj>
        <w:docPartGallery w:val="Page Numbers (Bottom of Page)"/>
        <w:docPartUnique/>
      </w:docPartObj>
    </w:sdtPr>
    <w:sdtEndPr>
      <w:rPr>
        <w:noProof/>
      </w:rPr>
    </w:sdtEndPr>
    <w:sdtContent>
      <w:p w14:paraId="5C0DBED7" w14:textId="5A2EE4B0" w:rsidR="00DC4951" w:rsidRDefault="00DC49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04C" w14:textId="77777777" w:rsidR="00532FEE" w:rsidRDefault="00532FEE">
    <w:pPr>
      <w:widowControl w:val="0"/>
      <w:pBdr>
        <w:top w:val="nil"/>
        <w:left w:val="nil"/>
        <w:bottom w:val="nil"/>
        <w:right w:val="nil"/>
        <w:between w:val="nil"/>
      </w:pBdr>
      <w:jc w:val="both"/>
      <w:rPr>
        <w:rFonts w:ascii="Calibri" w:eastAsia="Calibri" w:hAnsi="Calibri" w:cs="Calibr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B33D" w14:textId="77777777" w:rsidR="00DC4951" w:rsidRDefault="00DC4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E452" w14:textId="77777777" w:rsidR="00AF4241" w:rsidRDefault="00AF4241">
      <w:r>
        <w:separator/>
      </w:r>
    </w:p>
  </w:footnote>
  <w:footnote w:type="continuationSeparator" w:id="0">
    <w:p w14:paraId="1A778F3C" w14:textId="77777777" w:rsidR="00AF4241" w:rsidRDefault="00AF4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EC7B" w14:textId="77777777" w:rsidR="00DC4951" w:rsidRDefault="00DC4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196AAB70" w:rsidR="00532FEE" w:rsidRPr="00DC4951" w:rsidRDefault="00DC4951">
    <w:pPr>
      <w:widowControl w:val="0"/>
      <w:pBdr>
        <w:top w:val="nil"/>
        <w:left w:val="nil"/>
        <w:bottom w:val="nil"/>
        <w:right w:val="nil"/>
        <w:between w:val="nil"/>
      </w:pBdr>
      <w:jc w:val="both"/>
      <w:rPr>
        <w:rFonts w:ascii="Calibri" w:eastAsia="Calibri" w:hAnsi="Calibri" w:cs="Calibri"/>
        <w:i/>
        <w:iCs/>
        <w:color w:val="000000"/>
        <w:sz w:val="20"/>
        <w:szCs w:val="20"/>
        <w:lang w:val="en-MY"/>
      </w:rPr>
    </w:pPr>
    <w:r w:rsidRPr="00DC4951">
      <w:rPr>
        <w:i/>
        <w:iCs/>
        <w:sz w:val="20"/>
        <w:szCs w:val="20"/>
        <w:lang w:val="en-MY"/>
      </w:rPr>
      <w:t>Tajuk artikel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9AE0" w14:textId="77777777" w:rsidR="00DC4951" w:rsidRDefault="00DC4951" w:rsidP="00DC4951">
    <w:pPr>
      <w:tabs>
        <w:tab w:val="center" w:pos="4536"/>
        <w:tab w:val="right" w:pos="9072"/>
      </w:tabs>
      <w:jc w:val="right"/>
      <w:rPr>
        <w:sz w:val="16"/>
        <w:szCs w:val="16"/>
      </w:rPr>
    </w:pPr>
    <w:r>
      <w:rPr>
        <w:sz w:val="16"/>
        <w:szCs w:val="16"/>
      </w:rPr>
      <w:t>Journal’s Name</w:t>
    </w:r>
  </w:p>
  <w:p w14:paraId="589161DC" w14:textId="77777777" w:rsidR="00DC4951" w:rsidRDefault="00DC4951" w:rsidP="00DC4951">
    <w:pPr>
      <w:tabs>
        <w:tab w:val="center" w:pos="4536"/>
        <w:tab w:val="right" w:pos="9072"/>
      </w:tabs>
      <w:jc w:val="right"/>
      <w:rPr>
        <w:sz w:val="16"/>
        <w:szCs w:val="16"/>
      </w:rPr>
    </w:pPr>
    <w:r>
      <w:rPr>
        <w:sz w:val="16"/>
        <w:szCs w:val="16"/>
      </w:rPr>
      <w:t>Publication Volume</w:t>
    </w:r>
  </w:p>
  <w:p w14:paraId="34B9169B" w14:textId="77777777" w:rsidR="00DC4951" w:rsidRDefault="00DC49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EE"/>
    <w:rsid w:val="000E2CE1"/>
    <w:rsid w:val="003D7279"/>
    <w:rsid w:val="00532FEE"/>
    <w:rsid w:val="006F20D7"/>
    <w:rsid w:val="007F1482"/>
    <w:rsid w:val="00993EDF"/>
    <w:rsid w:val="009D6DC9"/>
    <w:rsid w:val="00A05DDB"/>
    <w:rsid w:val="00AF4241"/>
    <w:rsid w:val="00BC2F69"/>
    <w:rsid w:val="00DC4951"/>
    <w:rsid w:val="00EA4B92"/>
    <w:rsid w:val="00EF54FB"/>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8EF9"/>
  <w15:docId w15:val="{E089E95E-D105-41F7-87C7-1173AA24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ms"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C4951"/>
    <w:pPr>
      <w:tabs>
        <w:tab w:val="center" w:pos="4513"/>
        <w:tab w:val="right" w:pos="9026"/>
      </w:tabs>
    </w:pPr>
  </w:style>
  <w:style w:type="character" w:customStyle="1" w:styleId="HeaderChar">
    <w:name w:val="Header Char"/>
    <w:basedOn w:val="DefaultParagraphFont"/>
    <w:link w:val="Header"/>
    <w:uiPriority w:val="99"/>
    <w:rsid w:val="00DC4951"/>
  </w:style>
  <w:style w:type="paragraph" w:styleId="Footer">
    <w:name w:val="footer"/>
    <w:basedOn w:val="Normal"/>
    <w:link w:val="FooterChar"/>
    <w:uiPriority w:val="99"/>
    <w:unhideWhenUsed/>
    <w:rsid w:val="00DC4951"/>
    <w:pPr>
      <w:tabs>
        <w:tab w:val="center" w:pos="4513"/>
        <w:tab w:val="right" w:pos="9026"/>
      </w:tabs>
    </w:pPr>
  </w:style>
  <w:style w:type="character" w:customStyle="1" w:styleId="FooterChar">
    <w:name w:val="Footer Char"/>
    <w:basedOn w:val="DefaultParagraphFont"/>
    <w:link w:val="Footer"/>
    <w:uiPriority w:val="99"/>
    <w:rsid w:val="00DC4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endeley.com/guides/apa-citation-gui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GjTrJnaDtYSb89ozITBH9hZfDg==">CgMxLjAyDWguemxhdHRjcG12ZjA4AHIhMW1tdDNTNEdyOThiN1RBdTdjeS1UWHlXbTFvVFREWnhi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Fathin Shahirah Binti Abd Rahim Fathin Shahirah Binti Abd Rahim</cp:lastModifiedBy>
  <cp:revision>15</cp:revision>
  <dcterms:created xsi:type="dcterms:W3CDTF">2023-12-20T05:24:00Z</dcterms:created>
  <dcterms:modified xsi:type="dcterms:W3CDTF">2024-04-18T03:34:00Z</dcterms:modified>
</cp:coreProperties>
</file>